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1896E9" w14:textId="77777777" w:rsidR="0072089F" w:rsidRPr="004F4A23" w:rsidRDefault="0072089F" w:rsidP="004F4A23">
      <w:pPr>
        <w:spacing w:line="360" w:lineRule="auto"/>
        <w:jc w:val="center"/>
        <w:rPr>
          <w:rFonts w:ascii="Times New Roman" w:hAnsi="Times New Roman" w:cs="Times New Roman"/>
          <w:sz w:val="24"/>
          <w:szCs w:val="24"/>
        </w:rPr>
      </w:pPr>
    </w:p>
    <w:p w14:paraId="5D624149" w14:textId="77777777" w:rsidR="00B77C22" w:rsidRPr="004F4A23" w:rsidRDefault="00B77C22" w:rsidP="004F4A23">
      <w:pPr>
        <w:spacing w:line="360" w:lineRule="auto"/>
        <w:jc w:val="center"/>
        <w:rPr>
          <w:rFonts w:ascii="Times New Roman" w:hAnsi="Times New Roman" w:cs="Times New Roman"/>
          <w:sz w:val="24"/>
          <w:szCs w:val="24"/>
        </w:rPr>
      </w:pPr>
    </w:p>
    <w:p w14:paraId="1D6F62CA" w14:textId="77777777" w:rsidR="00B77C22" w:rsidRPr="004F4A23" w:rsidRDefault="00B77C22" w:rsidP="004F4A23">
      <w:pPr>
        <w:spacing w:line="360" w:lineRule="auto"/>
        <w:jc w:val="center"/>
        <w:rPr>
          <w:rFonts w:ascii="Times New Roman" w:hAnsi="Times New Roman" w:cs="Times New Roman"/>
          <w:sz w:val="24"/>
          <w:szCs w:val="24"/>
        </w:rPr>
      </w:pPr>
    </w:p>
    <w:p w14:paraId="552DADFB" w14:textId="77777777" w:rsidR="00B77C22" w:rsidRPr="004F4A23" w:rsidRDefault="00B77C22" w:rsidP="004F4A23">
      <w:pPr>
        <w:spacing w:line="360" w:lineRule="auto"/>
        <w:jc w:val="center"/>
        <w:rPr>
          <w:rFonts w:ascii="Times New Roman" w:hAnsi="Times New Roman" w:cs="Times New Roman"/>
          <w:sz w:val="24"/>
          <w:szCs w:val="24"/>
        </w:rPr>
      </w:pPr>
    </w:p>
    <w:p w14:paraId="547864C7" w14:textId="77777777" w:rsidR="00B77C22" w:rsidRPr="004F4A23" w:rsidRDefault="00B77C22" w:rsidP="004F4A23">
      <w:pPr>
        <w:spacing w:line="360" w:lineRule="auto"/>
        <w:jc w:val="center"/>
        <w:rPr>
          <w:rFonts w:ascii="Times New Roman" w:hAnsi="Times New Roman" w:cs="Times New Roman"/>
          <w:sz w:val="24"/>
          <w:szCs w:val="24"/>
        </w:rPr>
      </w:pPr>
    </w:p>
    <w:p w14:paraId="29BF0408" w14:textId="77777777" w:rsidR="00B77C22" w:rsidRPr="004F4A23" w:rsidRDefault="00B77C22" w:rsidP="004F4A23">
      <w:pPr>
        <w:spacing w:line="360" w:lineRule="auto"/>
        <w:jc w:val="center"/>
        <w:rPr>
          <w:rFonts w:ascii="Times New Roman" w:hAnsi="Times New Roman" w:cs="Times New Roman"/>
          <w:sz w:val="24"/>
          <w:szCs w:val="24"/>
        </w:rPr>
      </w:pPr>
    </w:p>
    <w:p w14:paraId="200A634D" w14:textId="77777777" w:rsidR="00B77C22" w:rsidRPr="004F4A23" w:rsidRDefault="00B77C22" w:rsidP="004F4A23">
      <w:pPr>
        <w:spacing w:line="360" w:lineRule="auto"/>
        <w:jc w:val="center"/>
        <w:rPr>
          <w:rFonts w:ascii="Times New Roman" w:hAnsi="Times New Roman" w:cs="Times New Roman"/>
          <w:sz w:val="24"/>
          <w:szCs w:val="24"/>
        </w:rPr>
      </w:pPr>
    </w:p>
    <w:p w14:paraId="499043E2" w14:textId="77777777" w:rsidR="00B77C22" w:rsidRPr="004F4A23" w:rsidRDefault="00B77C22" w:rsidP="004F4A23">
      <w:pPr>
        <w:spacing w:line="360" w:lineRule="auto"/>
        <w:jc w:val="center"/>
        <w:rPr>
          <w:rFonts w:ascii="Times New Roman" w:hAnsi="Times New Roman" w:cs="Times New Roman"/>
          <w:sz w:val="24"/>
          <w:szCs w:val="24"/>
        </w:rPr>
      </w:pPr>
    </w:p>
    <w:p w14:paraId="3E8916CF" w14:textId="77777777" w:rsidR="00B77C22" w:rsidRPr="004F4A23" w:rsidRDefault="00B77C22" w:rsidP="004F4A23">
      <w:pPr>
        <w:spacing w:line="360" w:lineRule="auto"/>
        <w:jc w:val="center"/>
        <w:rPr>
          <w:rFonts w:ascii="Times New Roman" w:hAnsi="Times New Roman" w:cs="Times New Roman"/>
          <w:b/>
          <w:sz w:val="24"/>
          <w:szCs w:val="24"/>
        </w:rPr>
      </w:pPr>
    </w:p>
    <w:p w14:paraId="2C3CD7A5" w14:textId="77777777" w:rsidR="00B77C22" w:rsidRPr="004F4A23" w:rsidRDefault="00B77C22" w:rsidP="004F4A23">
      <w:pPr>
        <w:spacing w:line="360" w:lineRule="auto"/>
        <w:jc w:val="center"/>
        <w:rPr>
          <w:rFonts w:ascii="Times New Roman" w:hAnsi="Times New Roman" w:cs="Times New Roman"/>
          <w:b/>
          <w:sz w:val="24"/>
          <w:szCs w:val="24"/>
        </w:rPr>
      </w:pPr>
    </w:p>
    <w:p w14:paraId="3529A39E" w14:textId="77777777" w:rsidR="00B77C22" w:rsidRPr="004F4A23" w:rsidRDefault="004F4A23" w:rsidP="004F4A23">
      <w:pPr>
        <w:spacing w:line="360" w:lineRule="auto"/>
        <w:jc w:val="center"/>
        <w:rPr>
          <w:rFonts w:ascii="Times New Roman" w:hAnsi="Times New Roman" w:cs="Times New Roman"/>
          <w:b/>
          <w:sz w:val="24"/>
          <w:szCs w:val="24"/>
        </w:rPr>
      </w:pPr>
      <w:r w:rsidRPr="004F4A23">
        <w:rPr>
          <w:rFonts w:ascii="Times New Roman" w:hAnsi="Times New Roman" w:cs="Times New Roman"/>
          <w:b/>
          <w:sz w:val="24"/>
          <w:szCs w:val="24"/>
        </w:rPr>
        <w:t>Respiratory Standpoint</w:t>
      </w:r>
    </w:p>
    <w:p w14:paraId="1976B39A" w14:textId="77777777" w:rsidR="00B77C22" w:rsidRPr="004F4A23" w:rsidRDefault="00B77C22" w:rsidP="004F4A23">
      <w:pPr>
        <w:spacing w:line="360" w:lineRule="auto"/>
        <w:jc w:val="center"/>
        <w:rPr>
          <w:rFonts w:ascii="Times New Roman" w:hAnsi="Times New Roman" w:cs="Times New Roman"/>
          <w:b/>
          <w:sz w:val="24"/>
          <w:szCs w:val="24"/>
        </w:rPr>
      </w:pPr>
    </w:p>
    <w:p w14:paraId="79D4CE31" w14:textId="77777777" w:rsidR="00B77C22" w:rsidRPr="004F4A23" w:rsidRDefault="004F4A23" w:rsidP="004F4A23">
      <w:pPr>
        <w:spacing w:line="360" w:lineRule="auto"/>
        <w:jc w:val="center"/>
        <w:rPr>
          <w:rFonts w:ascii="Times New Roman" w:hAnsi="Times New Roman" w:cs="Times New Roman"/>
          <w:sz w:val="24"/>
          <w:szCs w:val="24"/>
        </w:rPr>
      </w:pPr>
      <w:r w:rsidRPr="004F4A23">
        <w:rPr>
          <w:rFonts w:ascii="Times New Roman" w:hAnsi="Times New Roman" w:cs="Times New Roman"/>
          <w:sz w:val="24"/>
          <w:szCs w:val="24"/>
        </w:rPr>
        <w:t>Name</w:t>
      </w:r>
    </w:p>
    <w:p w14:paraId="73F7374B" w14:textId="77777777" w:rsidR="00B77C22" w:rsidRPr="004F4A23" w:rsidRDefault="00B77C22" w:rsidP="004F4A23">
      <w:pPr>
        <w:spacing w:line="360" w:lineRule="auto"/>
        <w:jc w:val="center"/>
        <w:rPr>
          <w:rFonts w:ascii="Times New Roman" w:hAnsi="Times New Roman" w:cs="Times New Roman"/>
          <w:sz w:val="24"/>
          <w:szCs w:val="24"/>
        </w:rPr>
      </w:pPr>
    </w:p>
    <w:p w14:paraId="6E111E12" w14:textId="77777777" w:rsidR="00B77C22" w:rsidRPr="004F4A23" w:rsidRDefault="004F4A23" w:rsidP="004F4A23">
      <w:pPr>
        <w:spacing w:line="360" w:lineRule="auto"/>
        <w:jc w:val="center"/>
        <w:rPr>
          <w:rFonts w:ascii="Times New Roman" w:hAnsi="Times New Roman" w:cs="Times New Roman"/>
          <w:sz w:val="24"/>
          <w:szCs w:val="24"/>
        </w:rPr>
      </w:pPr>
      <w:r w:rsidRPr="004F4A23">
        <w:rPr>
          <w:rFonts w:ascii="Times New Roman" w:hAnsi="Times New Roman" w:cs="Times New Roman"/>
          <w:sz w:val="24"/>
          <w:szCs w:val="24"/>
        </w:rPr>
        <w:t xml:space="preserve">Corse Code </w:t>
      </w:r>
    </w:p>
    <w:p w14:paraId="21BB930D" w14:textId="77777777" w:rsidR="00B77C22" w:rsidRPr="004F4A23" w:rsidRDefault="00B77C22" w:rsidP="004F4A23">
      <w:pPr>
        <w:spacing w:line="360" w:lineRule="auto"/>
        <w:jc w:val="center"/>
        <w:rPr>
          <w:rFonts w:ascii="Times New Roman" w:hAnsi="Times New Roman" w:cs="Times New Roman"/>
          <w:sz w:val="24"/>
          <w:szCs w:val="24"/>
        </w:rPr>
      </w:pPr>
    </w:p>
    <w:p w14:paraId="34050C9A" w14:textId="77777777" w:rsidR="00B77C22" w:rsidRPr="004F4A23" w:rsidRDefault="004F4A23" w:rsidP="004F4A23">
      <w:pPr>
        <w:spacing w:line="360" w:lineRule="auto"/>
        <w:jc w:val="center"/>
        <w:rPr>
          <w:rFonts w:ascii="Times New Roman" w:hAnsi="Times New Roman" w:cs="Times New Roman"/>
          <w:sz w:val="24"/>
          <w:szCs w:val="24"/>
        </w:rPr>
      </w:pPr>
      <w:r w:rsidRPr="004F4A23">
        <w:rPr>
          <w:rFonts w:ascii="Times New Roman" w:hAnsi="Times New Roman" w:cs="Times New Roman"/>
          <w:sz w:val="24"/>
          <w:szCs w:val="24"/>
        </w:rPr>
        <w:t>Institution</w:t>
      </w:r>
    </w:p>
    <w:p w14:paraId="40C1303C" w14:textId="77777777" w:rsidR="00B77C22" w:rsidRPr="004F4A23" w:rsidRDefault="00B77C22" w:rsidP="004F4A23">
      <w:pPr>
        <w:spacing w:line="360" w:lineRule="auto"/>
        <w:jc w:val="center"/>
        <w:rPr>
          <w:rFonts w:ascii="Times New Roman" w:hAnsi="Times New Roman" w:cs="Times New Roman"/>
          <w:sz w:val="24"/>
          <w:szCs w:val="24"/>
        </w:rPr>
      </w:pPr>
    </w:p>
    <w:p w14:paraId="4E6441CA" w14:textId="77777777" w:rsidR="00B77C22" w:rsidRPr="004F4A23" w:rsidRDefault="00B77C22" w:rsidP="004F4A23">
      <w:pPr>
        <w:spacing w:line="360" w:lineRule="auto"/>
        <w:jc w:val="center"/>
        <w:rPr>
          <w:rFonts w:ascii="Times New Roman" w:hAnsi="Times New Roman" w:cs="Times New Roman"/>
          <w:sz w:val="24"/>
          <w:szCs w:val="24"/>
        </w:rPr>
      </w:pPr>
    </w:p>
    <w:p w14:paraId="773CD3F9" w14:textId="77777777" w:rsidR="00B77C22" w:rsidRPr="004F4A23" w:rsidRDefault="00B77C22" w:rsidP="004F4A23">
      <w:pPr>
        <w:spacing w:line="360" w:lineRule="auto"/>
        <w:rPr>
          <w:rFonts w:ascii="Times New Roman" w:hAnsi="Times New Roman" w:cs="Times New Roman"/>
          <w:sz w:val="24"/>
          <w:szCs w:val="24"/>
        </w:rPr>
      </w:pPr>
    </w:p>
    <w:p w14:paraId="739CDF61" w14:textId="77777777" w:rsidR="00B77C22" w:rsidRPr="004F4A23" w:rsidRDefault="00B77C22" w:rsidP="004F4A23">
      <w:pPr>
        <w:spacing w:line="360" w:lineRule="auto"/>
        <w:jc w:val="center"/>
        <w:rPr>
          <w:rFonts w:ascii="Times New Roman" w:hAnsi="Times New Roman" w:cs="Times New Roman"/>
          <w:sz w:val="24"/>
          <w:szCs w:val="24"/>
        </w:rPr>
      </w:pPr>
    </w:p>
    <w:p w14:paraId="64328A0A" w14:textId="77777777" w:rsidR="00B77C22" w:rsidRPr="004F4A23" w:rsidRDefault="004F4A23" w:rsidP="004F4A23">
      <w:pPr>
        <w:spacing w:line="360" w:lineRule="auto"/>
        <w:jc w:val="center"/>
        <w:rPr>
          <w:rFonts w:ascii="Times New Roman" w:hAnsi="Times New Roman" w:cs="Times New Roman"/>
          <w:b/>
          <w:sz w:val="24"/>
          <w:szCs w:val="24"/>
        </w:rPr>
      </w:pPr>
      <w:r w:rsidRPr="004F4A23">
        <w:rPr>
          <w:rFonts w:ascii="Times New Roman" w:hAnsi="Times New Roman" w:cs="Times New Roman"/>
          <w:b/>
          <w:sz w:val="24"/>
          <w:szCs w:val="24"/>
        </w:rPr>
        <w:lastRenderedPageBreak/>
        <w:t>Discuss two methods for measuring ventilation oxygen consumption, and carbon dioxide production during exercise.</w:t>
      </w:r>
    </w:p>
    <w:p w14:paraId="01E6A0F1" w14:textId="77777777" w:rsidR="00B77C22" w:rsidRPr="004F4A23" w:rsidRDefault="004F4A23" w:rsidP="004F4A23">
      <w:pPr>
        <w:spacing w:line="360" w:lineRule="auto"/>
        <w:rPr>
          <w:rFonts w:ascii="Times New Roman" w:hAnsi="Times New Roman" w:cs="Times New Roman"/>
          <w:sz w:val="24"/>
          <w:szCs w:val="24"/>
        </w:rPr>
      </w:pPr>
      <w:r w:rsidRPr="004F4A23">
        <w:rPr>
          <w:rFonts w:ascii="Times New Roman" w:hAnsi="Times New Roman" w:cs="Times New Roman"/>
          <w:sz w:val="24"/>
          <w:szCs w:val="24"/>
        </w:rPr>
        <w:tab/>
      </w:r>
      <w:r w:rsidR="00402ACC" w:rsidRPr="004F4A23">
        <w:rPr>
          <w:rFonts w:ascii="Times New Roman" w:hAnsi="Times New Roman" w:cs="Times New Roman"/>
          <w:sz w:val="24"/>
          <w:szCs w:val="24"/>
        </w:rPr>
        <w:t xml:space="preserve">The metabolic production of carbon dioxide and oxygen consumption reflects on the fundamental function of the tissues. In the ICS, both carbon dioxide production and oxygen consumption are monitored as respiratory gases. </w:t>
      </w:r>
      <w:r w:rsidRPr="004F4A23">
        <w:rPr>
          <w:rFonts w:ascii="Times New Roman" w:hAnsi="Times New Roman" w:cs="Times New Roman"/>
          <w:sz w:val="24"/>
          <w:szCs w:val="24"/>
        </w:rPr>
        <w:t xml:space="preserve">A clinical bymixer was developed and was able to bypass a constant fraction of gas flow through a mixing arm through </w:t>
      </w:r>
      <w:r w:rsidR="00402ACC" w:rsidRPr="004F4A23">
        <w:rPr>
          <w:rFonts w:ascii="Times New Roman" w:hAnsi="Times New Roman" w:cs="Times New Roman"/>
          <w:sz w:val="24"/>
          <w:szCs w:val="24"/>
        </w:rPr>
        <w:t>a separate bymixer. There was an interposed expiratory and inspiratory limb through a ventilation circuit that measured the mixing gas fractions</w:t>
      </w:r>
      <w:r w:rsidR="009C749E" w:rsidRPr="004F4A23">
        <w:rPr>
          <w:rFonts w:ascii="Times New Roman" w:hAnsi="Times New Roman" w:cs="Times New Roman"/>
          <w:sz w:val="24"/>
          <w:szCs w:val="24"/>
        </w:rPr>
        <w:t xml:space="preserve"> (Hamazaki et al., 2019)</w:t>
      </w:r>
      <w:r w:rsidR="00402ACC" w:rsidRPr="004F4A23">
        <w:rPr>
          <w:rFonts w:ascii="Times New Roman" w:hAnsi="Times New Roman" w:cs="Times New Roman"/>
          <w:sz w:val="24"/>
          <w:szCs w:val="24"/>
        </w:rPr>
        <w:t xml:space="preserve">. Utilizing nitrogen conservation was done through a clinical bymixer, which allowed airway carbon dioxide determination, which eliminated the (VCO2) as the oxygen uptake (VO20 had expired through a flow and gas monitoring measurements were used for the patient. However, neither the expiratory exhaust gas collection nor expensive complex equipment is needed.  </w:t>
      </w:r>
    </w:p>
    <w:p w14:paraId="07B8E1F8" w14:textId="77777777" w:rsidR="00402ACC" w:rsidRPr="004F4A23" w:rsidRDefault="004F4A23" w:rsidP="004F4A23">
      <w:pPr>
        <w:spacing w:line="360" w:lineRule="auto"/>
        <w:rPr>
          <w:rFonts w:ascii="Times New Roman" w:hAnsi="Times New Roman" w:cs="Times New Roman"/>
          <w:sz w:val="24"/>
          <w:szCs w:val="24"/>
        </w:rPr>
      </w:pPr>
      <w:r w:rsidRPr="004F4A23">
        <w:rPr>
          <w:rFonts w:ascii="Times New Roman" w:hAnsi="Times New Roman" w:cs="Times New Roman"/>
          <w:sz w:val="24"/>
          <w:szCs w:val="24"/>
        </w:rPr>
        <w:tab/>
        <w:t>The gas exchange</w:t>
      </w:r>
      <w:r w:rsidR="009C749E" w:rsidRPr="004F4A23">
        <w:rPr>
          <w:rFonts w:ascii="Times New Roman" w:hAnsi="Times New Roman" w:cs="Times New Roman"/>
          <w:sz w:val="24"/>
          <w:szCs w:val="24"/>
        </w:rPr>
        <w:t xml:space="preserve"> monitoring in the intensive care unit considers VCO2 monitoring to use alveolar ventilation for the CO2 removal and ventilator changes in the etiology demands. Through the VO2 monitoring, there is information through circulation adequacy and transportation, especially when combined with venous mixed with oximetry (Oyake et al., 2019). The monitoring can be used to evaluate the arterial hypoxemia causes. Also, the gas exchange monitoring is considered useful by estimating the nutritional requirements and nutrition response in patients with prolonged intensive care.  </w:t>
      </w:r>
    </w:p>
    <w:p w14:paraId="5AC1A536" w14:textId="77777777" w:rsidR="009C749E" w:rsidRPr="004F4A23" w:rsidRDefault="004F4A23" w:rsidP="004F4A23">
      <w:pPr>
        <w:spacing w:line="360" w:lineRule="auto"/>
        <w:jc w:val="center"/>
        <w:rPr>
          <w:rFonts w:ascii="Times New Roman" w:hAnsi="Times New Roman" w:cs="Times New Roman"/>
          <w:sz w:val="24"/>
          <w:szCs w:val="24"/>
        </w:rPr>
      </w:pPr>
      <w:r w:rsidRPr="004F4A23">
        <w:rPr>
          <w:rFonts w:ascii="Times New Roman" w:hAnsi="Times New Roman" w:cs="Times New Roman"/>
          <w:sz w:val="24"/>
          <w:szCs w:val="24"/>
        </w:rPr>
        <w:t xml:space="preserve">References </w:t>
      </w:r>
    </w:p>
    <w:p w14:paraId="51EBE957" w14:textId="77777777" w:rsidR="009C749E" w:rsidRPr="004F4A23" w:rsidRDefault="004F4A23" w:rsidP="004F4A23">
      <w:pPr>
        <w:spacing w:line="360" w:lineRule="auto"/>
        <w:ind w:left="720" w:hanging="720"/>
        <w:rPr>
          <w:rFonts w:ascii="Times New Roman" w:hAnsi="Times New Roman" w:cs="Times New Roman"/>
          <w:sz w:val="24"/>
          <w:szCs w:val="24"/>
        </w:rPr>
      </w:pPr>
      <w:r w:rsidRPr="004F4A23">
        <w:rPr>
          <w:rFonts w:ascii="Times New Roman" w:hAnsi="Times New Roman" w:cs="Times New Roman"/>
          <w:sz w:val="24"/>
          <w:szCs w:val="24"/>
        </w:rPr>
        <w:t>Hamazaki, N., Masuda, T., Kamiya, K., Matsuzawa, R., Nozaki, K., Maekawa, E., ... &amp; Ako, J. (2019). Respiratory muscle weakness increases dead‐space ventilation ratio aggravating ventilation–perfusion mismatch during exercise in patients with chronic heart failure. </w:t>
      </w:r>
      <w:r w:rsidRPr="004F4A23">
        <w:rPr>
          <w:rFonts w:ascii="Times New Roman" w:hAnsi="Times New Roman" w:cs="Times New Roman"/>
          <w:i/>
          <w:iCs/>
          <w:sz w:val="24"/>
          <w:szCs w:val="24"/>
        </w:rPr>
        <w:t>Respirology</w:t>
      </w:r>
      <w:r w:rsidRPr="004F4A23">
        <w:rPr>
          <w:rFonts w:ascii="Times New Roman" w:hAnsi="Times New Roman" w:cs="Times New Roman"/>
          <w:sz w:val="24"/>
          <w:szCs w:val="24"/>
        </w:rPr>
        <w:t>, </w:t>
      </w:r>
      <w:r w:rsidRPr="004F4A23">
        <w:rPr>
          <w:rFonts w:ascii="Times New Roman" w:hAnsi="Times New Roman" w:cs="Times New Roman"/>
          <w:i/>
          <w:iCs/>
          <w:sz w:val="24"/>
          <w:szCs w:val="24"/>
        </w:rPr>
        <w:t>24</w:t>
      </w:r>
      <w:r w:rsidRPr="004F4A23">
        <w:rPr>
          <w:rFonts w:ascii="Times New Roman" w:hAnsi="Times New Roman" w:cs="Times New Roman"/>
          <w:sz w:val="24"/>
          <w:szCs w:val="24"/>
        </w:rPr>
        <w:t>(2), 154-161.</w:t>
      </w:r>
    </w:p>
    <w:p w14:paraId="62638C44" w14:textId="77777777" w:rsidR="009C749E" w:rsidRDefault="004F4A23" w:rsidP="004F4A23">
      <w:pPr>
        <w:spacing w:line="360" w:lineRule="auto"/>
        <w:ind w:left="720" w:hanging="720"/>
        <w:rPr>
          <w:rFonts w:ascii="Times New Roman" w:hAnsi="Times New Roman" w:cs="Times New Roman"/>
          <w:sz w:val="24"/>
          <w:szCs w:val="24"/>
        </w:rPr>
      </w:pPr>
      <w:r w:rsidRPr="004F4A23">
        <w:rPr>
          <w:rFonts w:ascii="Times New Roman" w:hAnsi="Times New Roman" w:cs="Times New Roman"/>
          <w:sz w:val="24"/>
          <w:szCs w:val="24"/>
        </w:rPr>
        <w:t>Oyake, K., Baba, Y., Ito, N., Suda, Y., Murayama, J., Mochida, A., ... &amp; Momose, K. (2019). Cardiorespiratory factors related to the increase in oxygen consumption during exercise in individuals with stroke. </w:t>
      </w:r>
      <w:proofErr w:type="spellStart"/>
      <w:r w:rsidRPr="004F4A23">
        <w:rPr>
          <w:rFonts w:ascii="Times New Roman" w:hAnsi="Times New Roman" w:cs="Times New Roman"/>
          <w:i/>
          <w:iCs/>
          <w:sz w:val="24"/>
          <w:szCs w:val="24"/>
        </w:rPr>
        <w:t>PloS</w:t>
      </w:r>
      <w:proofErr w:type="spellEnd"/>
      <w:r w:rsidRPr="004F4A23">
        <w:rPr>
          <w:rFonts w:ascii="Times New Roman" w:hAnsi="Times New Roman" w:cs="Times New Roman"/>
          <w:i/>
          <w:iCs/>
          <w:sz w:val="24"/>
          <w:szCs w:val="24"/>
        </w:rPr>
        <w:t xml:space="preserve"> one</w:t>
      </w:r>
      <w:r w:rsidRPr="004F4A23">
        <w:rPr>
          <w:rFonts w:ascii="Times New Roman" w:hAnsi="Times New Roman" w:cs="Times New Roman"/>
          <w:sz w:val="24"/>
          <w:szCs w:val="24"/>
        </w:rPr>
        <w:t>, </w:t>
      </w:r>
      <w:r w:rsidRPr="004F4A23">
        <w:rPr>
          <w:rFonts w:ascii="Times New Roman" w:hAnsi="Times New Roman" w:cs="Times New Roman"/>
          <w:i/>
          <w:iCs/>
          <w:sz w:val="24"/>
          <w:szCs w:val="24"/>
        </w:rPr>
        <w:t>14</w:t>
      </w:r>
      <w:r w:rsidRPr="004F4A23">
        <w:rPr>
          <w:rFonts w:ascii="Times New Roman" w:hAnsi="Times New Roman" w:cs="Times New Roman"/>
          <w:sz w:val="24"/>
          <w:szCs w:val="24"/>
        </w:rPr>
        <w:t>(10), e0217453.</w:t>
      </w:r>
    </w:p>
    <w:p w14:paraId="2008E87E" w14:textId="77777777" w:rsidR="004F4A23" w:rsidRPr="004F4A23" w:rsidRDefault="004F4A23" w:rsidP="004F4A23">
      <w:pPr>
        <w:spacing w:line="360" w:lineRule="auto"/>
        <w:ind w:left="720" w:hanging="720"/>
        <w:rPr>
          <w:rFonts w:ascii="Times New Roman" w:hAnsi="Times New Roman" w:cs="Times New Roman"/>
          <w:sz w:val="24"/>
          <w:szCs w:val="24"/>
        </w:rPr>
      </w:pPr>
    </w:p>
    <w:p w14:paraId="10CBF0CF" w14:textId="77777777" w:rsidR="00B77C22" w:rsidRPr="004F4A23" w:rsidRDefault="004F4A23" w:rsidP="004F4A23">
      <w:pPr>
        <w:spacing w:line="360" w:lineRule="auto"/>
        <w:jc w:val="center"/>
        <w:rPr>
          <w:rFonts w:ascii="Times New Roman" w:hAnsi="Times New Roman" w:cs="Times New Roman"/>
          <w:b/>
          <w:sz w:val="24"/>
          <w:szCs w:val="24"/>
        </w:rPr>
      </w:pPr>
      <w:r w:rsidRPr="004F4A23">
        <w:rPr>
          <w:rFonts w:ascii="Times New Roman" w:hAnsi="Times New Roman" w:cs="Times New Roman"/>
          <w:b/>
          <w:sz w:val="24"/>
          <w:szCs w:val="24"/>
        </w:rPr>
        <w:lastRenderedPageBreak/>
        <w:t>Describe the four (4) principles that should be considered fo</w:t>
      </w:r>
      <w:r w:rsidR="000F71EC" w:rsidRPr="004F4A23">
        <w:rPr>
          <w:rFonts w:ascii="Times New Roman" w:hAnsi="Times New Roman" w:cs="Times New Roman"/>
          <w:b/>
          <w:sz w:val="24"/>
          <w:szCs w:val="24"/>
        </w:rPr>
        <w:t>r pulmonary function testing</w:t>
      </w:r>
    </w:p>
    <w:p w14:paraId="7AE1F02A" w14:textId="77777777" w:rsidR="000F71EC" w:rsidRPr="004F4A23" w:rsidRDefault="004F4A23" w:rsidP="004F4A23">
      <w:pPr>
        <w:spacing w:line="360" w:lineRule="auto"/>
        <w:rPr>
          <w:rFonts w:ascii="Times New Roman" w:hAnsi="Times New Roman" w:cs="Times New Roman"/>
          <w:sz w:val="24"/>
          <w:szCs w:val="24"/>
        </w:rPr>
      </w:pPr>
      <w:r w:rsidRPr="004F4A23">
        <w:rPr>
          <w:rFonts w:ascii="Times New Roman" w:hAnsi="Times New Roman" w:cs="Times New Roman"/>
          <w:b/>
          <w:sz w:val="24"/>
          <w:szCs w:val="24"/>
        </w:rPr>
        <w:tab/>
      </w:r>
      <w:r w:rsidRPr="004F4A23">
        <w:rPr>
          <w:rFonts w:ascii="Times New Roman" w:hAnsi="Times New Roman" w:cs="Times New Roman"/>
          <w:sz w:val="24"/>
          <w:szCs w:val="24"/>
        </w:rPr>
        <w:t>The pulmonary</w:t>
      </w:r>
      <w:r w:rsidR="00E905D1" w:rsidRPr="004F4A23">
        <w:rPr>
          <w:rFonts w:ascii="Times New Roman" w:hAnsi="Times New Roman" w:cs="Times New Roman"/>
          <w:sz w:val="24"/>
          <w:szCs w:val="24"/>
        </w:rPr>
        <w:t xml:space="preserve"> function tests have four critical general principles that are considered in a test, and that are sensitivity, validity, specificity, and reliability. However, most of the pulmonary function difficulties are not specific; this is because different diseases may cause the test result to be expected.</w:t>
      </w:r>
      <w:r w:rsidR="00C44587" w:rsidRPr="004F4A23">
        <w:rPr>
          <w:rFonts w:ascii="Times New Roman" w:hAnsi="Times New Roman" w:cs="Times New Roman"/>
          <w:sz w:val="24"/>
          <w:szCs w:val="24"/>
        </w:rPr>
        <w:t xml:space="preserve"> The test analyzes the small air sacs inside the lungs called alveoli work (Lemos et al.,2019). In the pulmonary function test, one will be asked to breathe in certain gases such as oxygen, helium, or carbon dioxide. PFTs also help predict postoperative rik that allows the pulmonary complications in which patients will have an adequate pulmonary function after lung resection.  </w:t>
      </w:r>
    </w:p>
    <w:p w14:paraId="48C77996" w14:textId="77777777" w:rsidR="00C44587" w:rsidRPr="004F4A23" w:rsidRDefault="004F4A23" w:rsidP="004F4A23">
      <w:pPr>
        <w:spacing w:line="360" w:lineRule="auto"/>
        <w:jc w:val="center"/>
        <w:rPr>
          <w:rFonts w:ascii="Times New Roman" w:hAnsi="Times New Roman" w:cs="Times New Roman"/>
          <w:sz w:val="24"/>
          <w:szCs w:val="24"/>
        </w:rPr>
      </w:pPr>
      <w:r w:rsidRPr="004F4A23">
        <w:rPr>
          <w:rFonts w:ascii="Times New Roman" w:hAnsi="Times New Roman" w:cs="Times New Roman"/>
          <w:sz w:val="24"/>
          <w:szCs w:val="24"/>
        </w:rPr>
        <w:t xml:space="preserve">References </w:t>
      </w:r>
    </w:p>
    <w:p w14:paraId="279052ED" w14:textId="77777777" w:rsidR="00C44587" w:rsidRPr="004F4A23" w:rsidRDefault="004F4A23" w:rsidP="004F4A23">
      <w:pPr>
        <w:spacing w:line="360" w:lineRule="auto"/>
        <w:ind w:left="720" w:hanging="720"/>
        <w:rPr>
          <w:rFonts w:ascii="Times New Roman" w:hAnsi="Times New Roman" w:cs="Times New Roman"/>
          <w:sz w:val="24"/>
          <w:szCs w:val="24"/>
        </w:rPr>
      </w:pPr>
      <w:r w:rsidRPr="004F4A23">
        <w:rPr>
          <w:rFonts w:ascii="Times New Roman" w:hAnsi="Times New Roman" w:cs="Times New Roman"/>
          <w:sz w:val="24"/>
          <w:szCs w:val="24"/>
        </w:rPr>
        <w:t>COHEN, Z. (2016). Pulmonary Function Testing. </w:t>
      </w:r>
      <w:r w:rsidRPr="004F4A23">
        <w:rPr>
          <w:rFonts w:ascii="Times New Roman" w:hAnsi="Times New Roman" w:cs="Times New Roman"/>
          <w:i/>
          <w:iCs/>
          <w:sz w:val="24"/>
          <w:szCs w:val="24"/>
        </w:rPr>
        <w:t>Egan's Fundamentals of Respiratory Care-E-Book</w:t>
      </w:r>
      <w:r w:rsidRPr="004F4A23">
        <w:rPr>
          <w:rFonts w:ascii="Times New Roman" w:hAnsi="Times New Roman" w:cs="Times New Roman"/>
          <w:sz w:val="24"/>
          <w:szCs w:val="24"/>
        </w:rPr>
        <w:t>, 400.</w:t>
      </w:r>
    </w:p>
    <w:p w14:paraId="66CA02FF" w14:textId="77777777" w:rsidR="00C44587" w:rsidRPr="004F4A23" w:rsidRDefault="004F4A23" w:rsidP="004F4A23">
      <w:pPr>
        <w:spacing w:line="360" w:lineRule="auto"/>
        <w:ind w:left="720" w:hanging="720"/>
        <w:rPr>
          <w:rFonts w:ascii="Times New Roman" w:hAnsi="Times New Roman" w:cs="Times New Roman"/>
          <w:sz w:val="24"/>
          <w:szCs w:val="24"/>
        </w:rPr>
      </w:pPr>
      <w:r w:rsidRPr="004F4A23">
        <w:rPr>
          <w:rFonts w:ascii="Times New Roman" w:hAnsi="Times New Roman" w:cs="Times New Roman"/>
          <w:sz w:val="24"/>
          <w:szCs w:val="24"/>
        </w:rPr>
        <w:t>Lemos, J. R., da Cunha, F. A., Lopes, A. J., Guimarães, F. S., do Amaral Vasconcellos, F. V., &amp; dos Santos Vigário, P. (2019). Respiratory muscle training in non-athletes and athletes with spinal cord injury: A systematic review of the effects on pulmonary function, respiratory muscle strength and endurance, and cardiorespiratory fitness based on the FITT principle of exercise prescription. </w:t>
      </w:r>
      <w:r w:rsidRPr="004F4A23">
        <w:rPr>
          <w:rFonts w:ascii="Times New Roman" w:hAnsi="Times New Roman" w:cs="Times New Roman"/>
          <w:i/>
          <w:iCs/>
          <w:sz w:val="24"/>
          <w:szCs w:val="24"/>
        </w:rPr>
        <w:t>Journal of Back and Musculoskeletal Rehabilitation</w:t>
      </w:r>
      <w:r w:rsidRPr="004F4A23">
        <w:rPr>
          <w:rFonts w:ascii="Times New Roman" w:hAnsi="Times New Roman" w:cs="Times New Roman"/>
          <w:sz w:val="24"/>
          <w:szCs w:val="24"/>
        </w:rPr>
        <w:t xml:space="preserve"> (Preprint), 1-13. </w:t>
      </w:r>
    </w:p>
    <w:p w14:paraId="6EE1D39D" w14:textId="77777777" w:rsidR="00C44587" w:rsidRPr="004F4A23" w:rsidRDefault="004F4A23" w:rsidP="004F4A23">
      <w:pPr>
        <w:spacing w:line="360" w:lineRule="auto"/>
        <w:ind w:left="720" w:hanging="720"/>
        <w:jc w:val="center"/>
        <w:rPr>
          <w:rFonts w:ascii="Times New Roman" w:hAnsi="Times New Roman" w:cs="Times New Roman"/>
          <w:b/>
          <w:sz w:val="24"/>
          <w:szCs w:val="24"/>
        </w:rPr>
      </w:pPr>
      <w:r w:rsidRPr="004F4A23">
        <w:rPr>
          <w:rFonts w:ascii="Times New Roman" w:hAnsi="Times New Roman" w:cs="Times New Roman"/>
          <w:b/>
          <w:sz w:val="24"/>
          <w:szCs w:val="24"/>
        </w:rPr>
        <w:t>Describe two (2) methods of performing bronchial challenge tests, and identify a postive response to a methacholine challenge tests.</w:t>
      </w:r>
    </w:p>
    <w:p w14:paraId="68802C36" w14:textId="77777777" w:rsidR="00C44587" w:rsidRPr="004F4A23" w:rsidRDefault="004F4A23" w:rsidP="004F4A23">
      <w:pPr>
        <w:spacing w:line="360" w:lineRule="auto"/>
        <w:ind w:firstLine="720"/>
        <w:rPr>
          <w:rFonts w:ascii="Times New Roman" w:hAnsi="Times New Roman" w:cs="Times New Roman"/>
          <w:sz w:val="24"/>
          <w:szCs w:val="24"/>
        </w:rPr>
      </w:pPr>
      <w:r w:rsidRPr="004F4A23">
        <w:rPr>
          <w:rFonts w:ascii="Times New Roman" w:hAnsi="Times New Roman" w:cs="Times New Roman"/>
          <w:sz w:val="24"/>
          <w:szCs w:val="24"/>
        </w:rPr>
        <w:t xml:space="preserve">The ERS consensus guideline is suggested that before giving a bronchodilator, baseline spirometric measurements including FEV1 FVC and PEFR. The baseline measurements have 300, CG salbutamol or 160mcg ipratropium given via a spacer in four divided doses at 30 seconds intervals (Hallstrand et al., 2018). Spirometry is then repaced after 15 minutes using a short bera agonist for 20 minutes using a fast-acting anticholinergic drug.  </w:t>
      </w:r>
    </w:p>
    <w:p w14:paraId="182D0F54" w14:textId="77777777" w:rsidR="00C44587" w:rsidRPr="004F4A23" w:rsidRDefault="004F4A23" w:rsidP="004F4A23">
      <w:pPr>
        <w:spacing w:line="360" w:lineRule="auto"/>
        <w:ind w:firstLine="720"/>
        <w:rPr>
          <w:rFonts w:ascii="Times New Roman" w:hAnsi="Times New Roman" w:cs="Times New Roman"/>
          <w:sz w:val="24"/>
          <w:szCs w:val="24"/>
        </w:rPr>
      </w:pPr>
      <w:r w:rsidRPr="004F4A23">
        <w:rPr>
          <w:rFonts w:ascii="Times New Roman" w:hAnsi="Times New Roman" w:cs="Times New Roman"/>
          <w:sz w:val="24"/>
          <w:szCs w:val="24"/>
        </w:rPr>
        <w:t xml:space="preserve">A nebulized bronchodilator is used to test reversibility when administers widely depending on the output and rate of particle size ratio. The bronchodilators administration is also </w:t>
      </w:r>
      <w:r w:rsidRPr="004F4A23">
        <w:rPr>
          <w:rFonts w:ascii="Times New Roman" w:hAnsi="Times New Roman" w:cs="Times New Roman"/>
          <w:sz w:val="24"/>
          <w:szCs w:val="24"/>
        </w:rPr>
        <w:lastRenderedPageBreak/>
        <w:t xml:space="preserve">considered to be without a nebulizer that is a respirable fraction with a low heavy technique dependent on the reduced aerosol risks infected particles generation. </w:t>
      </w:r>
    </w:p>
    <w:p w14:paraId="13B1B8B9" w14:textId="77777777" w:rsidR="00C44587" w:rsidRPr="004F4A23" w:rsidRDefault="004F4A23" w:rsidP="004F4A23">
      <w:pPr>
        <w:spacing w:line="360" w:lineRule="auto"/>
        <w:ind w:left="720" w:hanging="720"/>
        <w:jc w:val="center"/>
        <w:rPr>
          <w:rFonts w:ascii="Times New Roman" w:hAnsi="Times New Roman" w:cs="Times New Roman"/>
          <w:b/>
          <w:sz w:val="24"/>
          <w:szCs w:val="24"/>
        </w:rPr>
      </w:pPr>
      <w:r w:rsidRPr="004F4A23">
        <w:rPr>
          <w:rFonts w:ascii="Times New Roman" w:hAnsi="Times New Roman" w:cs="Times New Roman"/>
          <w:b/>
          <w:sz w:val="24"/>
          <w:szCs w:val="24"/>
        </w:rPr>
        <w:t>Methacholine challenge test positive result</w:t>
      </w:r>
    </w:p>
    <w:p w14:paraId="24085552" w14:textId="77777777" w:rsidR="00C44587" w:rsidRPr="004F4A23" w:rsidRDefault="004F4A23" w:rsidP="004F4A23">
      <w:pPr>
        <w:spacing w:line="360" w:lineRule="auto"/>
        <w:ind w:firstLine="720"/>
        <w:rPr>
          <w:rFonts w:ascii="Times New Roman" w:hAnsi="Times New Roman" w:cs="Times New Roman"/>
          <w:sz w:val="24"/>
          <w:szCs w:val="24"/>
        </w:rPr>
      </w:pPr>
      <w:r w:rsidRPr="004F4A23">
        <w:rPr>
          <w:rFonts w:ascii="Times New Roman" w:hAnsi="Times New Roman" w:cs="Times New Roman"/>
          <w:sz w:val="24"/>
          <w:szCs w:val="24"/>
        </w:rPr>
        <w:t xml:space="preserve">The challenge test is considered positive if methacholine causes are 20% in a more significant decrease, especially while breathing, comparing it with the baseline (Coates et al., 2017). Therefore the positive tests suggest that there is a reactive and an asthma diagnosis that is considered. Thus a negative test diagnosis of asthma is unlikely.  </w:t>
      </w:r>
    </w:p>
    <w:p w14:paraId="6EBDE288" w14:textId="77777777" w:rsidR="00C44587" w:rsidRPr="004F4A23" w:rsidRDefault="004F4A23" w:rsidP="004F4A23">
      <w:pPr>
        <w:spacing w:line="360" w:lineRule="auto"/>
        <w:jc w:val="center"/>
        <w:rPr>
          <w:rFonts w:ascii="Times New Roman" w:hAnsi="Times New Roman" w:cs="Times New Roman"/>
          <w:sz w:val="24"/>
          <w:szCs w:val="24"/>
        </w:rPr>
      </w:pPr>
      <w:r w:rsidRPr="004F4A23">
        <w:rPr>
          <w:rFonts w:ascii="Times New Roman" w:hAnsi="Times New Roman" w:cs="Times New Roman"/>
          <w:sz w:val="24"/>
          <w:szCs w:val="24"/>
        </w:rPr>
        <w:t xml:space="preserve">References </w:t>
      </w:r>
    </w:p>
    <w:p w14:paraId="05A88102" w14:textId="77777777" w:rsidR="00C44587" w:rsidRPr="004F4A23" w:rsidRDefault="004F4A23" w:rsidP="004F4A23">
      <w:pPr>
        <w:spacing w:line="360" w:lineRule="auto"/>
        <w:ind w:left="720" w:hanging="720"/>
        <w:rPr>
          <w:rFonts w:ascii="Times New Roman" w:hAnsi="Times New Roman" w:cs="Times New Roman"/>
          <w:sz w:val="24"/>
          <w:szCs w:val="24"/>
        </w:rPr>
      </w:pPr>
      <w:r w:rsidRPr="004F4A23">
        <w:rPr>
          <w:rFonts w:ascii="Times New Roman" w:hAnsi="Times New Roman" w:cs="Times New Roman"/>
          <w:sz w:val="24"/>
          <w:szCs w:val="24"/>
        </w:rPr>
        <w:t>Coates, A. L., Wanger, J., Cockcroft, D. W., Culver, B. H., Carlsen, K. H., Diamant, Z., ... &amp; De Jongh, F. H. (2017). ERS technical standard on bronchial challenge testing: general considerations and performance of methacholine challenge tests. </w:t>
      </w:r>
      <w:r w:rsidRPr="004F4A23">
        <w:rPr>
          <w:rFonts w:ascii="Times New Roman" w:hAnsi="Times New Roman" w:cs="Times New Roman"/>
          <w:i/>
          <w:iCs/>
          <w:sz w:val="24"/>
          <w:szCs w:val="24"/>
        </w:rPr>
        <w:t>European Respiratory Journal</w:t>
      </w:r>
      <w:r w:rsidRPr="004F4A23">
        <w:rPr>
          <w:rFonts w:ascii="Times New Roman" w:hAnsi="Times New Roman" w:cs="Times New Roman"/>
          <w:sz w:val="24"/>
          <w:szCs w:val="24"/>
        </w:rPr>
        <w:t>, </w:t>
      </w:r>
      <w:r w:rsidRPr="004F4A23">
        <w:rPr>
          <w:rFonts w:ascii="Times New Roman" w:hAnsi="Times New Roman" w:cs="Times New Roman"/>
          <w:i/>
          <w:iCs/>
          <w:sz w:val="24"/>
          <w:szCs w:val="24"/>
        </w:rPr>
        <w:t>49</w:t>
      </w:r>
      <w:r w:rsidRPr="004F4A23">
        <w:rPr>
          <w:rFonts w:ascii="Times New Roman" w:hAnsi="Times New Roman" w:cs="Times New Roman"/>
          <w:sz w:val="24"/>
          <w:szCs w:val="24"/>
        </w:rPr>
        <w:t>(5).</w:t>
      </w:r>
    </w:p>
    <w:p w14:paraId="2C69D81C" w14:textId="77777777" w:rsidR="00C44587" w:rsidRPr="004F4A23" w:rsidRDefault="004F4A23" w:rsidP="004F4A23">
      <w:pPr>
        <w:spacing w:line="360" w:lineRule="auto"/>
        <w:ind w:left="720" w:hanging="720"/>
        <w:jc w:val="center"/>
        <w:rPr>
          <w:rFonts w:ascii="Times New Roman" w:hAnsi="Times New Roman" w:cs="Times New Roman"/>
          <w:sz w:val="24"/>
          <w:szCs w:val="24"/>
        </w:rPr>
      </w:pPr>
      <w:r w:rsidRPr="004F4A23">
        <w:rPr>
          <w:rFonts w:ascii="Times New Roman" w:hAnsi="Times New Roman" w:cs="Times New Roman"/>
          <w:sz w:val="24"/>
          <w:szCs w:val="24"/>
        </w:rPr>
        <w:t>Hallstrand, T. S., Leuppi, J. D., Joos, G., Hall, G. L., Carlsen, K. H., Kaminsky, D. A., ... &amp; Gauvreau, G. M. (2018). ERS technical standard on bronchial challenge testing: pathophysiology and methodology of indirect airway challenge testing. </w:t>
      </w:r>
      <w:r w:rsidRPr="004F4A23">
        <w:rPr>
          <w:rFonts w:ascii="Times New Roman" w:hAnsi="Times New Roman" w:cs="Times New Roman"/>
          <w:i/>
          <w:iCs/>
          <w:sz w:val="24"/>
          <w:szCs w:val="24"/>
        </w:rPr>
        <w:t>European Respiratory Journal</w:t>
      </w:r>
      <w:r w:rsidRPr="004F4A23">
        <w:rPr>
          <w:rFonts w:ascii="Times New Roman" w:hAnsi="Times New Roman" w:cs="Times New Roman"/>
          <w:sz w:val="24"/>
          <w:szCs w:val="24"/>
        </w:rPr>
        <w:t>, </w:t>
      </w:r>
      <w:r w:rsidRPr="004F4A23">
        <w:rPr>
          <w:rFonts w:ascii="Times New Roman" w:hAnsi="Times New Roman" w:cs="Times New Roman"/>
          <w:i/>
          <w:iCs/>
          <w:sz w:val="24"/>
          <w:szCs w:val="24"/>
        </w:rPr>
        <w:t>52</w:t>
      </w:r>
      <w:r w:rsidRPr="004F4A23">
        <w:rPr>
          <w:rFonts w:ascii="Times New Roman" w:hAnsi="Times New Roman" w:cs="Times New Roman"/>
          <w:sz w:val="24"/>
          <w:szCs w:val="24"/>
        </w:rPr>
        <w:t>(5).</w:t>
      </w:r>
    </w:p>
    <w:p w14:paraId="73946E5B" w14:textId="77777777" w:rsidR="00C44587" w:rsidRPr="004F4A23" w:rsidRDefault="004F4A23" w:rsidP="004F4A23">
      <w:pPr>
        <w:spacing w:line="360" w:lineRule="auto"/>
        <w:ind w:left="720" w:hanging="720"/>
        <w:jc w:val="center"/>
        <w:rPr>
          <w:rFonts w:ascii="Times New Roman" w:hAnsi="Times New Roman" w:cs="Times New Roman"/>
          <w:b/>
          <w:sz w:val="24"/>
          <w:szCs w:val="24"/>
        </w:rPr>
      </w:pPr>
      <w:r w:rsidRPr="004F4A23">
        <w:rPr>
          <w:rFonts w:ascii="Times New Roman" w:hAnsi="Times New Roman" w:cs="Times New Roman"/>
          <w:b/>
          <w:sz w:val="24"/>
          <w:szCs w:val="24"/>
        </w:rPr>
        <w:t>What are the major components of an electrocardiograph, and describe the most common arrhythmias encountered in clinical electrocardiograph?</w:t>
      </w:r>
    </w:p>
    <w:p w14:paraId="205A7E24" w14:textId="77777777" w:rsidR="00C44587" w:rsidRPr="004F4A23" w:rsidRDefault="004F4A23" w:rsidP="004F4A23">
      <w:pPr>
        <w:spacing w:line="360" w:lineRule="auto"/>
        <w:rPr>
          <w:rFonts w:ascii="Times New Roman" w:hAnsi="Times New Roman" w:cs="Times New Roman"/>
          <w:sz w:val="24"/>
          <w:szCs w:val="24"/>
        </w:rPr>
      </w:pPr>
      <w:r w:rsidRPr="004F4A23">
        <w:rPr>
          <w:rFonts w:ascii="Times New Roman" w:hAnsi="Times New Roman" w:cs="Times New Roman"/>
          <w:sz w:val="24"/>
          <w:szCs w:val="24"/>
        </w:rPr>
        <w:t>The P which is used to record the electrical activity within the upper heart chambers known as the atria</w:t>
      </w:r>
    </w:p>
    <w:p w14:paraId="4AA5DFE7" w14:textId="77777777" w:rsidR="00C44587" w:rsidRPr="004F4A23" w:rsidRDefault="004F4A23" w:rsidP="004F4A23">
      <w:pPr>
        <w:spacing w:line="360" w:lineRule="auto"/>
        <w:rPr>
          <w:rFonts w:ascii="Times New Roman" w:hAnsi="Times New Roman" w:cs="Times New Roman"/>
          <w:sz w:val="24"/>
          <w:szCs w:val="24"/>
        </w:rPr>
      </w:pPr>
      <w:r w:rsidRPr="004F4A23">
        <w:rPr>
          <w:rFonts w:ascii="Times New Roman" w:hAnsi="Times New Roman" w:cs="Times New Roman"/>
          <w:sz w:val="24"/>
          <w:szCs w:val="24"/>
        </w:rPr>
        <w:t>The QRS complex, recorded through the movement of electrical impulses within the lower heart chambers known as the ventricles (</w:t>
      </w:r>
      <w:proofErr w:type="gramStart"/>
      <w:r w:rsidRPr="004F4A23">
        <w:rPr>
          <w:rFonts w:ascii="Times New Roman" w:hAnsi="Times New Roman" w:cs="Times New Roman"/>
          <w:sz w:val="24"/>
          <w:szCs w:val="24"/>
        </w:rPr>
        <w:t>Yang,  Lam</w:t>
      </w:r>
      <w:proofErr w:type="gramEnd"/>
      <w:r w:rsidRPr="004F4A23">
        <w:rPr>
          <w:rFonts w:ascii="Times New Roman" w:hAnsi="Times New Roman" w:cs="Times New Roman"/>
          <w:sz w:val="24"/>
          <w:szCs w:val="24"/>
        </w:rPr>
        <w:t>, &amp; Ng, 2018).</w:t>
      </w:r>
    </w:p>
    <w:p w14:paraId="588B7CEE" w14:textId="77777777" w:rsidR="00C44587" w:rsidRPr="004F4A23" w:rsidRDefault="004F4A23" w:rsidP="004F4A23">
      <w:pPr>
        <w:spacing w:line="360" w:lineRule="auto"/>
        <w:rPr>
          <w:rFonts w:ascii="Times New Roman" w:hAnsi="Times New Roman" w:cs="Times New Roman"/>
          <w:sz w:val="24"/>
          <w:szCs w:val="24"/>
        </w:rPr>
      </w:pPr>
      <w:r w:rsidRPr="004F4A23">
        <w:rPr>
          <w:rFonts w:ascii="Times New Roman" w:hAnsi="Times New Roman" w:cs="Times New Roman"/>
          <w:sz w:val="24"/>
          <w:szCs w:val="24"/>
        </w:rPr>
        <w:t>The ST segment is considered the ventricle that contracts, but no electricity flows through it.</w:t>
      </w:r>
    </w:p>
    <w:p w14:paraId="7A449265" w14:textId="77777777" w:rsidR="00C44587" w:rsidRPr="004F4A23" w:rsidRDefault="004F4A23" w:rsidP="004F4A23">
      <w:pPr>
        <w:spacing w:line="360" w:lineRule="auto"/>
        <w:rPr>
          <w:rFonts w:ascii="Times New Roman" w:hAnsi="Times New Roman" w:cs="Times New Roman"/>
          <w:sz w:val="24"/>
          <w:szCs w:val="24"/>
        </w:rPr>
      </w:pPr>
      <w:r w:rsidRPr="004F4A23">
        <w:rPr>
          <w:rFonts w:ascii="Times New Roman" w:hAnsi="Times New Roman" w:cs="Times New Roman"/>
          <w:sz w:val="24"/>
          <w:szCs w:val="24"/>
        </w:rPr>
        <w:t>The most common diagnosing test used as arrhythmia is known as the electrocardiogram (EKG) in which it has its roles as the clinical and research trials to improve health as well as where to find more information (Russo, Rago, Papa &amp; Nigro, 2016)</w:t>
      </w:r>
    </w:p>
    <w:p w14:paraId="33B12806" w14:textId="77777777" w:rsidR="00C44587" w:rsidRPr="004F4A23" w:rsidRDefault="004F4A23" w:rsidP="004F4A23">
      <w:pPr>
        <w:spacing w:line="360" w:lineRule="auto"/>
        <w:jc w:val="center"/>
        <w:rPr>
          <w:rFonts w:ascii="Times New Roman" w:hAnsi="Times New Roman" w:cs="Times New Roman"/>
          <w:sz w:val="24"/>
          <w:szCs w:val="24"/>
        </w:rPr>
      </w:pPr>
      <w:r w:rsidRPr="004F4A23">
        <w:rPr>
          <w:rFonts w:ascii="Times New Roman" w:hAnsi="Times New Roman" w:cs="Times New Roman"/>
          <w:sz w:val="24"/>
          <w:szCs w:val="24"/>
        </w:rPr>
        <w:lastRenderedPageBreak/>
        <w:t xml:space="preserve">References </w:t>
      </w:r>
    </w:p>
    <w:p w14:paraId="2E59476C" w14:textId="77777777" w:rsidR="00C44587" w:rsidRPr="004F4A23" w:rsidRDefault="004F4A23" w:rsidP="004F4A23">
      <w:pPr>
        <w:spacing w:line="360" w:lineRule="auto"/>
        <w:ind w:left="720" w:hanging="720"/>
        <w:rPr>
          <w:rFonts w:ascii="Times New Roman" w:hAnsi="Times New Roman" w:cs="Times New Roman"/>
          <w:sz w:val="24"/>
          <w:szCs w:val="24"/>
        </w:rPr>
      </w:pPr>
      <w:r w:rsidRPr="004F4A23">
        <w:rPr>
          <w:rFonts w:ascii="Times New Roman" w:hAnsi="Times New Roman" w:cs="Times New Roman"/>
          <w:sz w:val="24"/>
          <w:szCs w:val="24"/>
        </w:rPr>
        <w:t>Russo, V., Rago, A., Papa, A. A., &amp; Nigro, G. (2016). Electrocardiographic presentation, cardiac arrhythmias, and their management in β‐thalassemia significant patients. </w:t>
      </w:r>
      <w:r w:rsidRPr="004F4A23">
        <w:rPr>
          <w:rFonts w:ascii="Times New Roman" w:hAnsi="Times New Roman" w:cs="Times New Roman"/>
          <w:i/>
          <w:iCs/>
          <w:sz w:val="24"/>
          <w:szCs w:val="24"/>
        </w:rPr>
        <w:t>Annals of Noninvasive Electrocardiology</w:t>
      </w:r>
      <w:r w:rsidRPr="004F4A23">
        <w:rPr>
          <w:rFonts w:ascii="Times New Roman" w:hAnsi="Times New Roman" w:cs="Times New Roman"/>
          <w:sz w:val="24"/>
          <w:szCs w:val="24"/>
        </w:rPr>
        <w:t>, </w:t>
      </w:r>
      <w:r w:rsidRPr="004F4A23">
        <w:rPr>
          <w:rFonts w:ascii="Times New Roman" w:hAnsi="Times New Roman" w:cs="Times New Roman"/>
          <w:i/>
          <w:iCs/>
          <w:sz w:val="24"/>
          <w:szCs w:val="24"/>
        </w:rPr>
        <w:t>21</w:t>
      </w:r>
      <w:r w:rsidRPr="004F4A23">
        <w:rPr>
          <w:rFonts w:ascii="Times New Roman" w:hAnsi="Times New Roman" w:cs="Times New Roman"/>
          <w:sz w:val="24"/>
          <w:szCs w:val="24"/>
        </w:rPr>
        <w:t>(4), 335-342.</w:t>
      </w:r>
    </w:p>
    <w:p w14:paraId="3215BA86" w14:textId="77777777" w:rsidR="00C44587" w:rsidRPr="004F4A23" w:rsidRDefault="004F4A23" w:rsidP="004F4A23">
      <w:pPr>
        <w:spacing w:line="360" w:lineRule="auto"/>
        <w:ind w:left="720" w:hanging="720"/>
        <w:rPr>
          <w:rFonts w:ascii="Times New Roman" w:hAnsi="Times New Roman" w:cs="Times New Roman"/>
          <w:sz w:val="24"/>
          <w:szCs w:val="24"/>
        </w:rPr>
      </w:pPr>
      <w:r w:rsidRPr="004F4A23">
        <w:rPr>
          <w:rFonts w:ascii="Times New Roman" w:hAnsi="Times New Roman" w:cs="Times New Roman"/>
          <w:sz w:val="24"/>
          <w:szCs w:val="24"/>
        </w:rPr>
        <w:t>Yang, S., Lam, B., &amp; Ng, C. M. (2018). Calibration of Electrocardiograph (ECG) Simulators. </w:t>
      </w:r>
      <w:r w:rsidRPr="004F4A23">
        <w:rPr>
          <w:rFonts w:ascii="Times New Roman" w:hAnsi="Times New Roman" w:cs="Times New Roman"/>
          <w:i/>
          <w:iCs/>
          <w:sz w:val="24"/>
          <w:szCs w:val="24"/>
        </w:rPr>
        <w:t>NCSLI Measure</w:t>
      </w:r>
      <w:r w:rsidRPr="004F4A23">
        <w:rPr>
          <w:rFonts w:ascii="Times New Roman" w:hAnsi="Times New Roman" w:cs="Times New Roman"/>
          <w:sz w:val="24"/>
          <w:szCs w:val="24"/>
        </w:rPr>
        <w:t>, </w:t>
      </w:r>
      <w:r w:rsidRPr="004F4A23">
        <w:rPr>
          <w:rFonts w:ascii="Times New Roman" w:hAnsi="Times New Roman" w:cs="Times New Roman"/>
          <w:i/>
          <w:iCs/>
          <w:sz w:val="24"/>
          <w:szCs w:val="24"/>
        </w:rPr>
        <w:t>12</w:t>
      </w:r>
      <w:r w:rsidRPr="004F4A23">
        <w:rPr>
          <w:rFonts w:ascii="Times New Roman" w:hAnsi="Times New Roman" w:cs="Times New Roman"/>
          <w:sz w:val="24"/>
          <w:szCs w:val="24"/>
        </w:rPr>
        <w:t>(1), 46-53.</w:t>
      </w:r>
    </w:p>
    <w:p w14:paraId="06A17AAE" w14:textId="77777777" w:rsidR="00C44587" w:rsidRPr="004F4A23" w:rsidRDefault="004F4A23" w:rsidP="004F4A23">
      <w:pPr>
        <w:spacing w:line="360" w:lineRule="auto"/>
        <w:ind w:left="720" w:hanging="720"/>
        <w:jc w:val="center"/>
        <w:rPr>
          <w:rFonts w:ascii="Times New Roman" w:hAnsi="Times New Roman" w:cs="Times New Roman"/>
          <w:b/>
          <w:sz w:val="24"/>
          <w:szCs w:val="24"/>
        </w:rPr>
      </w:pPr>
      <w:r w:rsidRPr="004F4A23">
        <w:rPr>
          <w:rFonts w:ascii="Times New Roman" w:hAnsi="Times New Roman" w:cs="Times New Roman"/>
          <w:b/>
          <w:sz w:val="24"/>
          <w:szCs w:val="24"/>
        </w:rPr>
        <w:t>Describe how the sputum gram stain and culture are used to diagnose pulmonary infections</w:t>
      </w:r>
    </w:p>
    <w:p w14:paraId="7996B965" w14:textId="77777777" w:rsidR="00D73F48" w:rsidRDefault="004F4A23" w:rsidP="00D73F48">
      <w:pPr>
        <w:spacing w:line="360" w:lineRule="auto"/>
        <w:rPr>
          <w:rFonts w:ascii="Times New Roman" w:hAnsi="Times New Roman" w:cs="Times New Roman"/>
          <w:sz w:val="24"/>
          <w:szCs w:val="24"/>
        </w:rPr>
      </w:pPr>
      <w:r w:rsidRPr="004F4A23">
        <w:rPr>
          <w:rFonts w:ascii="Times New Roman" w:hAnsi="Times New Roman" w:cs="Times New Roman"/>
          <w:sz w:val="24"/>
          <w:szCs w:val="24"/>
        </w:rPr>
        <w:t xml:space="preserve">A sputum grain is used in the laboratory testing in measuring the detected bacteria through a sputum sample. </w:t>
      </w:r>
    </w:p>
    <w:p w14:paraId="63F2D9DF" w14:textId="77777777" w:rsidR="00D73F48" w:rsidRDefault="004F4A23" w:rsidP="00D73F48">
      <w:pPr>
        <w:spacing w:line="360" w:lineRule="auto"/>
        <w:rPr>
          <w:rFonts w:ascii="Times New Roman" w:hAnsi="Times New Roman" w:cs="Times New Roman"/>
          <w:sz w:val="24"/>
          <w:szCs w:val="24"/>
        </w:rPr>
      </w:pPr>
      <w:r w:rsidRPr="004F4A23">
        <w:rPr>
          <w:rFonts w:ascii="Times New Roman" w:hAnsi="Times New Roman" w:cs="Times New Roman"/>
          <w:sz w:val="24"/>
          <w:szCs w:val="24"/>
        </w:rPr>
        <w:t xml:space="preserve">Sputum is the material that allows the air passages to cough deeply (Shimoda et al., 2018). </w:t>
      </w:r>
    </w:p>
    <w:p w14:paraId="7BEC0A13" w14:textId="061A992B" w:rsidR="00C44587" w:rsidRPr="004F4A23" w:rsidRDefault="004F4A23" w:rsidP="00D73F48">
      <w:pPr>
        <w:spacing w:line="360" w:lineRule="auto"/>
        <w:rPr>
          <w:rFonts w:ascii="Times New Roman" w:hAnsi="Times New Roman" w:cs="Times New Roman"/>
          <w:sz w:val="24"/>
          <w:szCs w:val="24"/>
        </w:rPr>
      </w:pPr>
      <w:r w:rsidRPr="004F4A23">
        <w:rPr>
          <w:rFonts w:ascii="Times New Roman" w:hAnsi="Times New Roman" w:cs="Times New Roman"/>
          <w:sz w:val="24"/>
          <w:szCs w:val="24"/>
        </w:rPr>
        <w:t xml:space="preserve">The gram stain is a method that is considered most commonly in techniques that allow the detection of bacterial infection in pneumonia.  </w:t>
      </w:r>
    </w:p>
    <w:p w14:paraId="294B62D4" w14:textId="77777777" w:rsidR="00C44587" w:rsidRPr="004F4A23" w:rsidRDefault="004F4A23" w:rsidP="004F4A23">
      <w:pPr>
        <w:spacing w:line="360" w:lineRule="auto"/>
        <w:jc w:val="center"/>
        <w:rPr>
          <w:rFonts w:ascii="Times New Roman" w:hAnsi="Times New Roman" w:cs="Times New Roman"/>
          <w:sz w:val="24"/>
          <w:szCs w:val="24"/>
        </w:rPr>
      </w:pPr>
      <w:r w:rsidRPr="004F4A23">
        <w:rPr>
          <w:rFonts w:ascii="Times New Roman" w:hAnsi="Times New Roman" w:cs="Times New Roman"/>
          <w:sz w:val="24"/>
          <w:szCs w:val="24"/>
        </w:rPr>
        <w:t xml:space="preserve">References </w:t>
      </w:r>
    </w:p>
    <w:p w14:paraId="4C1B3675" w14:textId="77777777" w:rsidR="00C44587" w:rsidRPr="004F4A23" w:rsidRDefault="004F4A23" w:rsidP="004F4A23">
      <w:pPr>
        <w:spacing w:line="360" w:lineRule="auto"/>
        <w:ind w:left="720" w:hanging="720"/>
        <w:rPr>
          <w:rFonts w:ascii="Times New Roman" w:hAnsi="Times New Roman" w:cs="Times New Roman"/>
          <w:sz w:val="24"/>
          <w:szCs w:val="24"/>
        </w:rPr>
      </w:pPr>
      <w:r w:rsidRPr="004F4A23">
        <w:rPr>
          <w:rFonts w:ascii="Times New Roman" w:hAnsi="Times New Roman" w:cs="Times New Roman"/>
          <w:sz w:val="24"/>
          <w:szCs w:val="24"/>
        </w:rPr>
        <w:t>Del Rio-Pertuz, G., Gutiérrez, J. F., Triana, A. J., Molinares, J. L., Robledo-Solano, A. B., Meza, J. L., ... &amp; Carratalà, J. (2019). Usefulness of sputum gram stain for etiologic diagnosis in community-acquired pneumonia: a systematic review and meta-analysis. </w:t>
      </w:r>
      <w:r w:rsidRPr="004F4A23">
        <w:rPr>
          <w:rFonts w:ascii="Times New Roman" w:hAnsi="Times New Roman" w:cs="Times New Roman"/>
          <w:i/>
          <w:iCs/>
          <w:sz w:val="24"/>
          <w:szCs w:val="24"/>
        </w:rPr>
        <w:t>BMC infectious diseases</w:t>
      </w:r>
      <w:r w:rsidRPr="004F4A23">
        <w:rPr>
          <w:rFonts w:ascii="Times New Roman" w:hAnsi="Times New Roman" w:cs="Times New Roman"/>
          <w:sz w:val="24"/>
          <w:szCs w:val="24"/>
        </w:rPr>
        <w:t>, </w:t>
      </w:r>
      <w:r w:rsidRPr="004F4A23">
        <w:rPr>
          <w:rFonts w:ascii="Times New Roman" w:hAnsi="Times New Roman" w:cs="Times New Roman"/>
          <w:i/>
          <w:iCs/>
          <w:sz w:val="24"/>
          <w:szCs w:val="24"/>
        </w:rPr>
        <w:t>19</w:t>
      </w:r>
      <w:r w:rsidRPr="004F4A23">
        <w:rPr>
          <w:rFonts w:ascii="Times New Roman" w:hAnsi="Times New Roman" w:cs="Times New Roman"/>
          <w:sz w:val="24"/>
          <w:szCs w:val="24"/>
        </w:rPr>
        <w:t>(1), 403.</w:t>
      </w:r>
    </w:p>
    <w:p w14:paraId="4B04FF5E" w14:textId="77777777" w:rsidR="00C44587" w:rsidRPr="004F4A23" w:rsidRDefault="004F4A23" w:rsidP="004F4A23">
      <w:pPr>
        <w:spacing w:line="360" w:lineRule="auto"/>
        <w:ind w:left="720" w:hanging="720"/>
        <w:rPr>
          <w:rFonts w:ascii="Times New Roman" w:hAnsi="Times New Roman" w:cs="Times New Roman"/>
          <w:sz w:val="24"/>
          <w:szCs w:val="24"/>
        </w:rPr>
      </w:pPr>
      <w:r w:rsidRPr="004F4A23">
        <w:rPr>
          <w:rFonts w:ascii="Times New Roman" w:hAnsi="Times New Roman" w:cs="Times New Roman"/>
          <w:sz w:val="24"/>
          <w:szCs w:val="24"/>
        </w:rPr>
        <w:t>Shimoda, M., Saraya, T., Yonetani, S., Araki, K., &amp; Takizawa, H. (2018). The significance of bacterial engulfment in Gram-stained sputum in patients with respiratory infections. </w:t>
      </w:r>
      <w:r w:rsidRPr="004F4A23">
        <w:rPr>
          <w:rFonts w:ascii="Times New Roman" w:hAnsi="Times New Roman" w:cs="Times New Roman"/>
          <w:i/>
          <w:iCs/>
          <w:sz w:val="24"/>
          <w:szCs w:val="24"/>
        </w:rPr>
        <w:t>Medicine</w:t>
      </w:r>
      <w:r w:rsidRPr="004F4A23">
        <w:rPr>
          <w:rFonts w:ascii="Times New Roman" w:hAnsi="Times New Roman" w:cs="Times New Roman"/>
          <w:sz w:val="24"/>
          <w:szCs w:val="24"/>
        </w:rPr>
        <w:t>, </w:t>
      </w:r>
      <w:r w:rsidRPr="004F4A23">
        <w:rPr>
          <w:rFonts w:ascii="Times New Roman" w:hAnsi="Times New Roman" w:cs="Times New Roman"/>
          <w:i/>
          <w:iCs/>
          <w:sz w:val="24"/>
          <w:szCs w:val="24"/>
        </w:rPr>
        <w:t>97</w:t>
      </w:r>
      <w:r w:rsidRPr="004F4A23">
        <w:rPr>
          <w:rFonts w:ascii="Times New Roman" w:hAnsi="Times New Roman" w:cs="Times New Roman"/>
          <w:sz w:val="24"/>
          <w:szCs w:val="24"/>
        </w:rPr>
        <w:t>(14).</w:t>
      </w:r>
    </w:p>
    <w:p w14:paraId="19C5A353" w14:textId="77777777" w:rsidR="004F4A23" w:rsidRPr="004F4A23" w:rsidRDefault="004F4A23" w:rsidP="004F4A23">
      <w:pPr>
        <w:spacing w:line="360" w:lineRule="auto"/>
        <w:ind w:left="720" w:hanging="720"/>
        <w:rPr>
          <w:rFonts w:ascii="Times New Roman" w:hAnsi="Times New Roman" w:cs="Times New Roman"/>
          <w:sz w:val="24"/>
          <w:szCs w:val="24"/>
        </w:rPr>
      </w:pPr>
    </w:p>
    <w:p w14:paraId="4E176963" w14:textId="77777777" w:rsidR="00C44587" w:rsidRPr="004F4A23" w:rsidRDefault="004F4A23" w:rsidP="004F4A23">
      <w:pPr>
        <w:spacing w:line="360" w:lineRule="auto"/>
        <w:ind w:left="720" w:hanging="720"/>
        <w:jc w:val="center"/>
        <w:rPr>
          <w:rFonts w:ascii="Times New Roman" w:hAnsi="Times New Roman" w:cs="Times New Roman"/>
          <w:b/>
          <w:sz w:val="24"/>
          <w:szCs w:val="24"/>
        </w:rPr>
      </w:pPr>
      <w:r w:rsidRPr="004F4A23">
        <w:rPr>
          <w:rFonts w:ascii="Times New Roman" w:hAnsi="Times New Roman" w:cs="Times New Roman"/>
          <w:b/>
          <w:sz w:val="24"/>
          <w:szCs w:val="24"/>
        </w:rPr>
        <w:t>Described the three the (3) main tests and the purpose of each test used to diagnose coagulation disorders</w:t>
      </w:r>
    </w:p>
    <w:p w14:paraId="7332EAAE" w14:textId="77777777" w:rsidR="00C44587" w:rsidRPr="004F4A23" w:rsidRDefault="004F4A23" w:rsidP="004F4A23">
      <w:pPr>
        <w:spacing w:line="360" w:lineRule="auto"/>
        <w:rPr>
          <w:rFonts w:ascii="Times New Roman" w:hAnsi="Times New Roman" w:cs="Times New Roman"/>
          <w:sz w:val="24"/>
          <w:szCs w:val="24"/>
        </w:rPr>
      </w:pPr>
      <w:r w:rsidRPr="004F4A23">
        <w:rPr>
          <w:rFonts w:ascii="Times New Roman" w:hAnsi="Times New Roman" w:cs="Times New Roman"/>
          <w:sz w:val="24"/>
          <w:szCs w:val="24"/>
        </w:rPr>
        <w:lastRenderedPageBreak/>
        <w:t xml:space="preserve">Complete blood count (CBC), which is considered as part of the routine physical. The results alert the doctor if one has anemia or low platelet count, which tends to interfere with the blood clot. </w:t>
      </w:r>
    </w:p>
    <w:p w14:paraId="03620EC0" w14:textId="77777777" w:rsidR="00C44587" w:rsidRPr="004F4A23" w:rsidRDefault="004F4A23" w:rsidP="004F4A23">
      <w:pPr>
        <w:spacing w:line="360" w:lineRule="auto"/>
        <w:rPr>
          <w:rFonts w:ascii="Times New Roman" w:hAnsi="Times New Roman" w:cs="Times New Roman"/>
          <w:sz w:val="24"/>
          <w:szCs w:val="24"/>
        </w:rPr>
      </w:pPr>
      <w:r w:rsidRPr="004F4A23">
        <w:rPr>
          <w:rFonts w:ascii="Times New Roman" w:hAnsi="Times New Roman" w:cs="Times New Roman"/>
          <w:sz w:val="24"/>
          <w:szCs w:val="24"/>
        </w:rPr>
        <w:t>Factor V assay, which is involved in clotting, it measures the abnormal liver disease through low levels of primary fibrinolysis or disseminated intravascular coagulation (Favaloro, &amp; Lippi, 2019)</w:t>
      </w:r>
    </w:p>
    <w:p w14:paraId="63DC80D6" w14:textId="77777777" w:rsidR="00C44587" w:rsidRPr="004F4A23" w:rsidRDefault="004F4A23" w:rsidP="004F4A23">
      <w:pPr>
        <w:spacing w:line="360" w:lineRule="auto"/>
        <w:rPr>
          <w:rFonts w:ascii="Times New Roman" w:hAnsi="Times New Roman" w:cs="Times New Roman"/>
          <w:sz w:val="24"/>
          <w:szCs w:val="24"/>
        </w:rPr>
      </w:pPr>
      <w:r w:rsidRPr="004F4A23">
        <w:rPr>
          <w:rFonts w:ascii="Times New Roman" w:hAnsi="Times New Roman" w:cs="Times New Roman"/>
          <w:sz w:val="24"/>
          <w:szCs w:val="24"/>
        </w:rPr>
        <w:t>Fibrinogen level, which is a protein in the liver, tests the amount of fibrinogen in the blood as abnormal tests that indicate hemorrhage after the separation of the placenta from the uterine wall.</w:t>
      </w:r>
    </w:p>
    <w:p w14:paraId="1D478E93" w14:textId="77777777" w:rsidR="00C44587" w:rsidRPr="004F4A23" w:rsidRDefault="004F4A23" w:rsidP="004F4A23">
      <w:pPr>
        <w:spacing w:line="360" w:lineRule="auto"/>
        <w:ind w:left="720" w:hanging="720"/>
        <w:jc w:val="center"/>
        <w:rPr>
          <w:rFonts w:ascii="Times New Roman" w:hAnsi="Times New Roman" w:cs="Times New Roman"/>
          <w:sz w:val="24"/>
          <w:szCs w:val="24"/>
        </w:rPr>
      </w:pPr>
      <w:r w:rsidRPr="004F4A23">
        <w:rPr>
          <w:rFonts w:ascii="Times New Roman" w:hAnsi="Times New Roman" w:cs="Times New Roman"/>
          <w:sz w:val="24"/>
          <w:szCs w:val="24"/>
        </w:rPr>
        <w:t xml:space="preserve">References </w:t>
      </w:r>
    </w:p>
    <w:p w14:paraId="5D356867" w14:textId="77777777" w:rsidR="00C44587" w:rsidRPr="004F4A23" w:rsidRDefault="004F4A23" w:rsidP="004F4A23">
      <w:pPr>
        <w:spacing w:line="360" w:lineRule="auto"/>
        <w:ind w:left="720" w:hanging="720"/>
        <w:rPr>
          <w:rFonts w:ascii="Times New Roman" w:hAnsi="Times New Roman" w:cs="Times New Roman"/>
          <w:sz w:val="24"/>
          <w:szCs w:val="24"/>
        </w:rPr>
      </w:pPr>
      <w:r w:rsidRPr="004F4A23">
        <w:rPr>
          <w:rFonts w:ascii="Times New Roman" w:hAnsi="Times New Roman" w:cs="Times New Roman"/>
          <w:sz w:val="24"/>
          <w:szCs w:val="24"/>
        </w:rPr>
        <w:t>Favaloro, E. J., &amp; Lippi, G. (2019, April). Recent advances in mainstream hemostasis diagnostics and coagulation testing. In </w:t>
      </w:r>
      <w:r w:rsidRPr="004F4A23">
        <w:rPr>
          <w:rFonts w:ascii="Times New Roman" w:hAnsi="Times New Roman" w:cs="Times New Roman"/>
          <w:i/>
          <w:iCs/>
          <w:sz w:val="24"/>
          <w:szCs w:val="24"/>
        </w:rPr>
        <w:t>Seminars in thrombosis and hemostasis</w:t>
      </w:r>
      <w:r w:rsidRPr="004F4A23">
        <w:rPr>
          <w:rFonts w:ascii="Times New Roman" w:hAnsi="Times New Roman" w:cs="Times New Roman"/>
          <w:sz w:val="24"/>
          <w:szCs w:val="24"/>
        </w:rPr>
        <w:t> (Vol. 45, No. 03, pp. 228-246). Thieme Medical Publishers.</w:t>
      </w:r>
    </w:p>
    <w:p w14:paraId="64F330CD" w14:textId="77777777" w:rsidR="00C44587" w:rsidRPr="004F4A23" w:rsidRDefault="004F4A23" w:rsidP="004F4A23">
      <w:pPr>
        <w:spacing w:line="360" w:lineRule="auto"/>
        <w:ind w:left="720" w:hanging="720"/>
        <w:rPr>
          <w:rFonts w:ascii="Times New Roman" w:hAnsi="Times New Roman" w:cs="Times New Roman"/>
          <w:sz w:val="24"/>
          <w:szCs w:val="24"/>
        </w:rPr>
      </w:pPr>
      <w:r w:rsidRPr="004F4A23">
        <w:rPr>
          <w:rFonts w:ascii="Times New Roman" w:hAnsi="Times New Roman" w:cs="Times New Roman"/>
          <w:sz w:val="24"/>
          <w:szCs w:val="24"/>
        </w:rPr>
        <w:t>Rodeghiero, F., Pabinger, I., Ragni, M., Abdul-Kadir, R., Berntorp, E., Blanchette, V., ... &amp; Leebeek, F. (2019). Fundamentals for a systematic approach to mild and moderate inherited bleeding disorders: an EHA consensus report. </w:t>
      </w:r>
      <w:r w:rsidRPr="004F4A23">
        <w:rPr>
          <w:rFonts w:ascii="Times New Roman" w:hAnsi="Times New Roman" w:cs="Times New Roman"/>
          <w:i/>
          <w:iCs/>
          <w:sz w:val="24"/>
          <w:szCs w:val="24"/>
        </w:rPr>
        <w:t>HemaSphere</w:t>
      </w:r>
      <w:r w:rsidRPr="004F4A23">
        <w:rPr>
          <w:rFonts w:ascii="Times New Roman" w:hAnsi="Times New Roman" w:cs="Times New Roman"/>
          <w:sz w:val="24"/>
          <w:szCs w:val="24"/>
        </w:rPr>
        <w:t>, </w:t>
      </w:r>
      <w:r w:rsidRPr="004F4A23">
        <w:rPr>
          <w:rFonts w:ascii="Times New Roman" w:hAnsi="Times New Roman" w:cs="Times New Roman"/>
          <w:i/>
          <w:iCs/>
          <w:sz w:val="24"/>
          <w:szCs w:val="24"/>
        </w:rPr>
        <w:t>3</w:t>
      </w:r>
      <w:r w:rsidRPr="004F4A23">
        <w:rPr>
          <w:rFonts w:ascii="Times New Roman" w:hAnsi="Times New Roman" w:cs="Times New Roman"/>
          <w:sz w:val="24"/>
          <w:szCs w:val="24"/>
        </w:rPr>
        <w:t>(5).</w:t>
      </w:r>
    </w:p>
    <w:p w14:paraId="60A40C33" w14:textId="77777777" w:rsidR="00C44587" w:rsidRPr="00C44587" w:rsidRDefault="00C44587" w:rsidP="00C44587">
      <w:pPr>
        <w:ind w:left="720" w:hanging="720"/>
        <w:rPr>
          <w:rFonts w:ascii="Times New Roman" w:hAnsi="Times New Roman" w:cs="Times New Roman"/>
          <w:sz w:val="24"/>
          <w:szCs w:val="24"/>
        </w:rPr>
      </w:pPr>
    </w:p>
    <w:p w14:paraId="1074F7AB" w14:textId="77777777" w:rsidR="00C44587" w:rsidRPr="00C44587" w:rsidRDefault="00C44587" w:rsidP="00C44587">
      <w:pPr>
        <w:rPr>
          <w:rFonts w:ascii="Times New Roman" w:hAnsi="Times New Roman" w:cs="Times New Roman"/>
          <w:sz w:val="24"/>
          <w:szCs w:val="24"/>
        </w:rPr>
      </w:pPr>
    </w:p>
    <w:p w14:paraId="724E0740" w14:textId="77777777" w:rsidR="00C44587" w:rsidRDefault="00C44587" w:rsidP="00C44587">
      <w:pPr>
        <w:ind w:left="720" w:hanging="720"/>
        <w:rPr>
          <w:rFonts w:ascii="Times New Roman" w:hAnsi="Times New Roman" w:cs="Times New Roman"/>
          <w:sz w:val="24"/>
          <w:szCs w:val="24"/>
        </w:rPr>
      </w:pPr>
    </w:p>
    <w:p w14:paraId="367921EE" w14:textId="77777777" w:rsidR="00C44587" w:rsidRPr="00C44587" w:rsidRDefault="00C44587" w:rsidP="00C44587">
      <w:pPr>
        <w:ind w:left="720" w:hanging="720"/>
        <w:rPr>
          <w:rFonts w:ascii="Times New Roman" w:hAnsi="Times New Roman" w:cs="Times New Roman"/>
          <w:sz w:val="24"/>
          <w:szCs w:val="24"/>
        </w:rPr>
      </w:pPr>
    </w:p>
    <w:p w14:paraId="60176EB7" w14:textId="77777777" w:rsidR="00C44587" w:rsidRPr="00C44587" w:rsidRDefault="00C44587" w:rsidP="00C44587">
      <w:pPr>
        <w:ind w:left="720" w:hanging="720"/>
        <w:rPr>
          <w:rFonts w:ascii="Times New Roman" w:hAnsi="Times New Roman" w:cs="Times New Roman"/>
          <w:sz w:val="24"/>
          <w:szCs w:val="24"/>
        </w:rPr>
      </w:pPr>
    </w:p>
    <w:p w14:paraId="7DFF58B7" w14:textId="77777777" w:rsidR="00B77C22" w:rsidRDefault="00B77C22" w:rsidP="00B77C22">
      <w:pPr>
        <w:jc w:val="center"/>
        <w:rPr>
          <w:rFonts w:ascii="Times New Roman" w:hAnsi="Times New Roman" w:cs="Times New Roman"/>
          <w:sz w:val="24"/>
          <w:szCs w:val="24"/>
        </w:rPr>
      </w:pPr>
    </w:p>
    <w:p w14:paraId="47FB5672" w14:textId="77777777" w:rsidR="00B77C22" w:rsidRDefault="00B77C22" w:rsidP="00B77C22">
      <w:pPr>
        <w:jc w:val="center"/>
        <w:rPr>
          <w:rFonts w:ascii="Times New Roman" w:hAnsi="Times New Roman" w:cs="Times New Roman"/>
          <w:sz w:val="24"/>
          <w:szCs w:val="24"/>
        </w:rPr>
      </w:pPr>
    </w:p>
    <w:p w14:paraId="103037E5" w14:textId="77777777" w:rsidR="00B77C22" w:rsidRPr="00B77C22" w:rsidRDefault="00B77C22" w:rsidP="00B77C22">
      <w:pPr>
        <w:jc w:val="center"/>
        <w:rPr>
          <w:rFonts w:ascii="Times New Roman" w:hAnsi="Times New Roman" w:cs="Times New Roman"/>
          <w:sz w:val="24"/>
          <w:szCs w:val="24"/>
        </w:rPr>
      </w:pPr>
    </w:p>
    <w:sectPr w:rsidR="00B77C22" w:rsidRPr="00B77C22" w:rsidSect="00D73F4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6317B7" w14:textId="77777777" w:rsidR="00294975" w:rsidRDefault="00294975" w:rsidP="00D73F48">
      <w:pPr>
        <w:spacing w:after="0" w:line="240" w:lineRule="auto"/>
      </w:pPr>
      <w:r>
        <w:separator/>
      </w:r>
    </w:p>
  </w:endnote>
  <w:endnote w:type="continuationSeparator" w:id="0">
    <w:p w14:paraId="6976D486" w14:textId="77777777" w:rsidR="00294975" w:rsidRDefault="00294975" w:rsidP="00D73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CAC79" w14:textId="77777777" w:rsidR="00D73F48" w:rsidRDefault="00D73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BBA0F7" w14:textId="77777777" w:rsidR="00D73F48" w:rsidRDefault="00D73F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A9A25" w14:textId="77777777" w:rsidR="00D73F48" w:rsidRDefault="00D73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7C67CE" w14:textId="77777777" w:rsidR="00294975" w:rsidRDefault="00294975" w:rsidP="00D73F48">
      <w:pPr>
        <w:spacing w:after="0" w:line="240" w:lineRule="auto"/>
      </w:pPr>
      <w:r>
        <w:separator/>
      </w:r>
    </w:p>
  </w:footnote>
  <w:footnote w:type="continuationSeparator" w:id="0">
    <w:p w14:paraId="6EEDA00D" w14:textId="77777777" w:rsidR="00294975" w:rsidRDefault="00294975" w:rsidP="00D73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9E623" w14:textId="77777777" w:rsidR="00D73F48" w:rsidRDefault="00D73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1D3D9" w14:textId="4509352D" w:rsidR="00A85A14" w:rsidRPr="00A85A14" w:rsidRDefault="00A85A14" w:rsidP="00A85A14">
    <w:pPr>
      <w:pStyle w:val="Header"/>
      <w:rPr>
        <w:rFonts w:ascii="Times New Roman" w:hAnsi="Times New Roman" w:cs="Times New Roman"/>
        <w:sz w:val="24"/>
        <w:szCs w:val="24"/>
      </w:rPr>
    </w:pPr>
    <w:r w:rsidRPr="00A85A14">
      <w:rPr>
        <w:rFonts w:ascii="Times New Roman" w:hAnsi="Times New Roman" w:cs="Times New Roman"/>
        <w:sz w:val="24"/>
        <w:szCs w:val="24"/>
      </w:rPr>
      <w:t>RESPIRATORY STANDPOINT</w:t>
    </w:r>
    <w:r w:rsidRPr="00A85A14">
      <w:rPr>
        <w:rFonts w:ascii="Times New Roman" w:hAnsi="Times New Roman" w:cs="Times New Roman"/>
        <w:sz w:val="24"/>
        <w:szCs w:val="24"/>
      </w:rPr>
      <w:tab/>
    </w:r>
    <w:r w:rsidRPr="00A85A14">
      <w:rPr>
        <w:rFonts w:ascii="Times New Roman" w:hAnsi="Times New Roman" w:cs="Times New Roman"/>
        <w:sz w:val="24"/>
        <w:szCs w:val="24"/>
      </w:rPr>
      <w:tab/>
    </w:r>
    <w:r w:rsidRPr="00A85A14">
      <w:rPr>
        <w:rFonts w:ascii="Times New Roman" w:hAnsi="Times New Roman" w:cs="Times New Roman"/>
        <w:sz w:val="24"/>
        <w:szCs w:val="24"/>
      </w:rPr>
      <w:t xml:space="preserve"> </w:t>
    </w:r>
    <w:sdt>
      <w:sdtPr>
        <w:rPr>
          <w:rFonts w:ascii="Times New Roman" w:hAnsi="Times New Roman" w:cs="Times New Roman"/>
          <w:sz w:val="24"/>
          <w:szCs w:val="24"/>
        </w:rPr>
        <w:id w:val="748781382"/>
        <w:docPartObj>
          <w:docPartGallery w:val="Page Numbers (Top of Page)"/>
          <w:docPartUnique/>
        </w:docPartObj>
      </w:sdtPr>
      <w:sdtEndPr>
        <w:rPr>
          <w:noProof/>
        </w:rPr>
      </w:sdtEndPr>
      <w:sdtContent>
        <w:r w:rsidRPr="00A85A14">
          <w:rPr>
            <w:rFonts w:ascii="Times New Roman" w:hAnsi="Times New Roman" w:cs="Times New Roman"/>
            <w:sz w:val="24"/>
            <w:szCs w:val="24"/>
          </w:rPr>
          <w:fldChar w:fldCharType="begin"/>
        </w:r>
        <w:r w:rsidRPr="00A85A14">
          <w:rPr>
            <w:rFonts w:ascii="Times New Roman" w:hAnsi="Times New Roman" w:cs="Times New Roman"/>
            <w:sz w:val="24"/>
            <w:szCs w:val="24"/>
          </w:rPr>
          <w:instrText xml:space="preserve"> PAGE   \* MERGEFORMAT </w:instrText>
        </w:r>
        <w:r w:rsidRPr="00A85A14">
          <w:rPr>
            <w:rFonts w:ascii="Times New Roman" w:hAnsi="Times New Roman" w:cs="Times New Roman"/>
            <w:sz w:val="24"/>
            <w:szCs w:val="24"/>
          </w:rPr>
          <w:fldChar w:fldCharType="separate"/>
        </w:r>
        <w:r w:rsidRPr="00A85A14">
          <w:rPr>
            <w:rFonts w:ascii="Times New Roman" w:hAnsi="Times New Roman" w:cs="Times New Roman"/>
            <w:sz w:val="24"/>
            <w:szCs w:val="24"/>
          </w:rPr>
          <w:t>1</w:t>
        </w:r>
        <w:r w:rsidRPr="00A85A14">
          <w:rPr>
            <w:rFonts w:ascii="Times New Roman" w:hAnsi="Times New Roman" w:cs="Times New Roman"/>
            <w:noProof/>
            <w:sz w:val="24"/>
            <w:szCs w:val="24"/>
          </w:rPr>
          <w:fldChar w:fldCharType="end"/>
        </w:r>
      </w:sdtContent>
    </w:sdt>
  </w:p>
  <w:p w14:paraId="511AC4AC" w14:textId="77777777" w:rsidR="00D73F48" w:rsidRPr="00A85A14" w:rsidRDefault="00D73F48">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77FC53" w14:textId="48F33656" w:rsidR="00D73F48" w:rsidRPr="00DD6553" w:rsidRDefault="00DD6553" w:rsidP="00DD6553">
    <w:pPr>
      <w:pStyle w:val="Header"/>
      <w:rPr>
        <w:rFonts w:ascii="Times New Roman" w:hAnsi="Times New Roman" w:cs="Times New Roman"/>
        <w:sz w:val="24"/>
        <w:szCs w:val="24"/>
      </w:rPr>
    </w:pPr>
    <w:r w:rsidRPr="00DD6553">
      <w:rPr>
        <w:rFonts w:ascii="Times New Roman" w:hAnsi="Times New Roman" w:cs="Times New Roman"/>
        <w:sz w:val="24"/>
        <w:szCs w:val="24"/>
      </w:rPr>
      <w:t>Running Head: RESPIRATORY STANDPOINT</w:t>
    </w:r>
    <w:r>
      <w:rPr>
        <w:rFonts w:ascii="Times New Roman" w:hAnsi="Times New Roman" w:cs="Times New Roman"/>
        <w:sz w:val="24"/>
        <w:szCs w:val="24"/>
      </w:rPr>
      <w:tab/>
    </w:r>
    <w:r w:rsidRPr="00DD6553">
      <w:rPr>
        <w:rFonts w:ascii="Times New Roman" w:hAnsi="Times New Roman" w:cs="Times New Roman"/>
        <w:sz w:val="24"/>
        <w:szCs w:val="24"/>
      </w:rPr>
      <w:t xml:space="preserve"> </w:t>
    </w:r>
    <w:sdt>
      <w:sdtPr>
        <w:rPr>
          <w:rFonts w:ascii="Times New Roman" w:hAnsi="Times New Roman" w:cs="Times New Roman"/>
          <w:sz w:val="24"/>
          <w:szCs w:val="24"/>
        </w:rPr>
        <w:id w:val="82493153"/>
        <w:docPartObj>
          <w:docPartGallery w:val="Page Numbers (Top of Page)"/>
          <w:docPartUnique/>
        </w:docPartObj>
      </w:sdtPr>
      <w:sdtEndPr>
        <w:rPr>
          <w:noProof/>
        </w:rPr>
      </w:sdtEndPr>
      <w:sdtContent>
        <w:r w:rsidR="00D73F48" w:rsidRPr="00DD6553">
          <w:rPr>
            <w:rFonts w:ascii="Times New Roman" w:hAnsi="Times New Roman" w:cs="Times New Roman"/>
            <w:sz w:val="24"/>
            <w:szCs w:val="24"/>
          </w:rPr>
          <w:fldChar w:fldCharType="begin"/>
        </w:r>
        <w:r w:rsidR="00D73F48" w:rsidRPr="00DD6553">
          <w:rPr>
            <w:rFonts w:ascii="Times New Roman" w:hAnsi="Times New Roman" w:cs="Times New Roman"/>
            <w:sz w:val="24"/>
            <w:szCs w:val="24"/>
          </w:rPr>
          <w:instrText xml:space="preserve"> PAGE   \* MERGEFORMAT </w:instrText>
        </w:r>
        <w:r w:rsidR="00D73F48" w:rsidRPr="00DD6553">
          <w:rPr>
            <w:rFonts w:ascii="Times New Roman" w:hAnsi="Times New Roman" w:cs="Times New Roman"/>
            <w:sz w:val="24"/>
            <w:szCs w:val="24"/>
          </w:rPr>
          <w:fldChar w:fldCharType="separate"/>
        </w:r>
        <w:r w:rsidRPr="00DD6553">
          <w:rPr>
            <w:rFonts w:ascii="Times New Roman" w:hAnsi="Times New Roman" w:cs="Times New Roman"/>
            <w:noProof/>
            <w:sz w:val="24"/>
            <w:szCs w:val="24"/>
          </w:rPr>
          <w:t>2</w:t>
        </w:r>
        <w:r w:rsidR="00D73F48" w:rsidRPr="00DD6553">
          <w:rPr>
            <w:rFonts w:ascii="Times New Roman" w:hAnsi="Times New Roman" w:cs="Times New Roman"/>
            <w:noProof/>
            <w:sz w:val="24"/>
            <w:szCs w:val="24"/>
          </w:rPr>
          <w:fldChar w:fldCharType="end"/>
        </w:r>
      </w:sdtContent>
    </w:sdt>
  </w:p>
  <w:p w14:paraId="566DB381" w14:textId="77777777" w:rsidR="00D73F48" w:rsidRPr="00DD6553" w:rsidRDefault="00D73F4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7C22"/>
    <w:rsid w:val="000F71EC"/>
    <w:rsid w:val="00294975"/>
    <w:rsid w:val="002D3C84"/>
    <w:rsid w:val="00402ACC"/>
    <w:rsid w:val="004F4A23"/>
    <w:rsid w:val="0072089F"/>
    <w:rsid w:val="009C749E"/>
    <w:rsid w:val="00A85A14"/>
    <w:rsid w:val="00B77C22"/>
    <w:rsid w:val="00C44587"/>
    <w:rsid w:val="00D73F48"/>
    <w:rsid w:val="00DD6553"/>
    <w:rsid w:val="00E905D1"/>
    <w:rsid w:val="00EF6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ECE62"/>
  <w15:docId w15:val="{468AD193-D6E9-47F8-A24B-A13A8C32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F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F48"/>
  </w:style>
  <w:style w:type="paragraph" w:styleId="Footer">
    <w:name w:val="footer"/>
    <w:basedOn w:val="Normal"/>
    <w:link w:val="FooterChar"/>
    <w:uiPriority w:val="99"/>
    <w:unhideWhenUsed/>
    <w:rsid w:val="00D73F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1292</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john matheka</cp:lastModifiedBy>
  <cp:revision>3</cp:revision>
  <dcterms:created xsi:type="dcterms:W3CDTF">2020-11-11T01:21:00Z</dcterms:created>
  <dcterms:modified xsi:type="dcterms:W3CDTF">2020-11-11T04:18:00Z</dcterms:modified>
</cp:coreProperties>
</file>